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00"/>
        <w:jc w:val="center"/>
      </w:pPr>
      <w:r>
        <w:rPr>
          <w:rFonts w:ascii="Arial" w:cs="Arial" w:eastAsia="Arial" w:hAnsi="Arial"/>
          <w:b/>
          <w:bCs/>
          <w:color w:val="1F4E79"/>
          <w:sz w:val="40"/>
          <w:szCs w:val="40"/>
        </w:rPr>
        <w:t xml:space="preserve">中国港口至红海航线</w:t>
      </w:r>
    </w:p>
    <w:p>
      <w:pPr>
        <w:spacing w:after="200"/>
        <w:jc w:val="center"/>
      </w:pPr>
      <w:r>
        <w:rPr>
          <w:rFonts w:ascii="Arial" w:cs="Arial" w:eastAsia="Arial" w:hAnsi="Arial"/>
          <w:color w:val="2E75B6"/>
          <w:sz w:val="26"/>
          <w:szCs w:val="26"/>
        </w:rPr>
        <w:t xml:space="preserve">运价 · 航线 · 报关 · SABER认证 参考指南</w:t>
      </w:r>
    </w:p>
    <w:p>
      <w:pPr>
        <w:spacing w:after="400"/>
        <w:jc w:val="center"/>
      </w:pPr>
      <w:r>
        <w:rPr>
          <w:rFonts w:ascii="Arial" w:cs="Arial" w:eastAsia="Arial" w:hAnsi="Arial"/>
          <w:color w:val="888888"/>
          <w:sz w:val="18"/>
          <w:szCs w:val="18"/>
        </w:rPr>
        <w:t xml:space="preserve">整理日期：2026年10月28日　|　数据截至2026年10月底</w:t>
      </w:r>
    </w:p>
    <w:p>
      <w:pPr>
        <w:pStyle w:val="Heading1"/>
      </w:pPr>
      <w:r>
        <w:t xml:space="preserve">一、大致运价参考（40HQ/FEU）</w:t>
      </w:r>
    </w:p>
    <w:p>
      <w:pPr>
        <w:spacing w:after="120"/>
      </w:pPr>
      <w:r>
        <w:rPr>
          <w:i/>
          <w:iCs/>
          <w:color w:val="666666"/>
          <w:sz w:val="20"/>
          <w:szCs w:val="20"/>
        </w:rPr>
        <w:t xml:space="preserve">以下为2026年10月市场大致区间，受红海局势、舱位和复航进度影响波动较大，仅供参考。</w:t>
      </w:r>
    </w:p>
    <w:tbl>
      <w:tblPr>
        <w:tblW w:type="dxa" w:w="1024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200"/>
        <w:gridCol w:w="2400"/>
        <w:gridCol w:w="2800"/>
        <w:gridCol w:w="2840"/>
      </w:tblGrid>
      <w:tr>
        <w:tc>
          <w:tcPr>
            <w:tcW w:type="dxa" w:w="2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F4E79" w:val="clear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起运港</w:t>
            </w:r>
          </w:p>
        </w:tc>
        <w:tc>
          <w:tcPr>
            <w:tcW w:type="dxa" w:w="2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F4E79" w:val="clear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目的港</w:t>
            </w:r>
          </w:p>
        </w:tc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F4E79" w:val="clear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大致运价区间</w:t>
            </w:r>
          </w:p>
        </w:tc>
        <w:tc>
          <w:tcPr>
            <w:tcW w:type="dxa" w:w="284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F4E79" w:val="clear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备注</w:t>
            </w:r>
          </w:p>
        </w:tc>
      </w:tr>
      <w:tr>
        <w:tc>
          <w:tcPr>
            <w:tcW w:type="dxa" w:w="2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val="clear"/>
            <w:tcMar>
              <w:top w:type="dxa" w:w="50"/>
              <w:left w:type="dxa" w:w="80"/>
              <w:bottom w:type="dxa" w:w="50"/>
              <w:right w:type="dxa" w:w="80"/>
            </w:tcMar>
          </w:tcPr>
          <w:p>
            <w:r>
              <w:rPr>
                <w:rFonts w:ascii="Arial" w:cs="Arial" w:eastAsia="Arial" w:hAnsi="Arial"/>
                <w:sz w:val="20"/>
                <w:szCs w:val="20"/>
              </w:rPr>
              <w:t xml:space="preserve">上海 / 宁波</w:t>
            </w:r>
          </w:p>
        </w:tc>
        <w:tc>
          <w:tcPr>
            <w:tcW w:type="dxa" w:w="2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val="clear"/>
            <w:tcMar>
              <w:top w:type="dxa" w:w="50"/>
              <w:left w:type="dxa" w:w="80"/>
              <w:bottom w:type="dxa" w:w="50"/>
              <w:right w:type="dxa" w:w="80"/>
            </w:tcMar>
          </w:tcPr>
          <w:p>
            <w:r>
              <w:rPr>
                <w:rFonts w:ascii="Arial" w:cs="Arial" w:eastAsia="Arial" w:hAnsi="Arial"/>
                <w:sz w:val="20"/>
                <w:szCs w:val="20"/>
              </w:rPr>
              <w:t xml:space="preserve">吉达 (Jeddah)</w:t>
            </w:r>
          </w:p>
        </w:tc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val="clear"/>
            <w:tcMar>
              <w:top w:type="dxa" w:w="50"/>
              <w:left w:type="dxa" w:w="80"/>
              <w:bottom w:type="dxa" w:w="50"/>
              <w:right w:type="dxa" w:w="80"/>
            </w:tcMar>
          </w:tcPr>
          <w:p>
            <w:r>
              <w:rPr>
                <w:rFonts w:ascii="Arial" w:cs="Arial" w:eastAsia="Arial" w:hAnsi="Arial"/>
                <w:sz w:val="20"/>
                <w:szCs w:val="20"/>
              </w:rPr>
              <w:t xml:space="preserve">$5,000 – $11,000</w:t>
            </w:r>
          </w:p>
        </w:tc>
        <w:tc>
          <w:tcPr>
            <w:tcW w:type="dxa" w:w="284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val="clear"/>
            <w:tcMar>
              <w:top w:type="dxa" w:w="50"/>
              <w:left w:type="dxa" w:w="80"/>
              <w:bottom w:type="dxa" w:w="50"/>
              <w:right w:type="dxa" w:w="80"/>
            </w:tcMar>
          </w:tcPr>
          <w:p>
            <w:r>
              <w:rPr>
                <w:rFonts w:ascii="Arial" w:cs="Arial" w:eastAsia="Arial" w:hAnsi="Arial"/>
                <w:sz w:val="20"/>
                <w:szCs w:val="20"/>
              </w:rPr>
              <w:t xml:space="preserve">高峰曾超$10,000</w:t>
            </w:r>
          </w:p>
        </w:tc>
      </w:tr>
      <w:tr>
        <w:tc>
          <w:tcPr>
            <w:tcW w:type="dxa" w:w="2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2F2F2" w:val="clear"/>
            <w:tcMar>
              <w:top w:type="dxa" w:w="50"/>
              <w:left w:type="dxa" w:w="80"/>
              <w:bottom w:type="dxa" w:w="50"/>
              <w:right w:type="dxa" w:w="80"/>
            </w:tcMar>
          </w:tcPr>
          <w:p>
            <w:r>
              <w:rPr>
                <w:rFonts w:ascii="Arial" w:cs="Arial" w:eastAsia="Arial" w:hAnsi="Arial"/>
                <w:sz w:val="20"/>
                <w:szCs w:val="20"/>
              </w:rPr>
              <w:t xml:space="preserve">上海 / 宁波</w:t>
            </w:r>
          </w:p>
        </w:tc>
        <w:tc>
          <w:tcPr>
            <w:tcW w:type="dxa" w:w="2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2F2F2" w:val="clear"/>
            <w:tcMar>
              <w:top w:type="dxa" w:w="50"/>
              <w:left w:type="dxa" w:w="80"/>
              <w:bottom w:type="dxa" w:w="50"/>
              <w:right w:type="dxa" w:w="80"/>
            </w:tcMar>
          </w:tcPr>
          <w:p>
            <w:r>
              <w:rPr>
                <w:rFonts w:ascii="Arial" w:cs="Arial" w:eastAsia="Arial" w:hAnsi="Arial"/>
                <w:sz w:val="20"/>
                <w:szCs w:val="20"/>
              </w:rPr>
              <w:t xml:space="preserve">索赫纳 (Sokhna)</w:t>
            </w:r>
          </w:p>
        </w:tc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2F2F2" w:val="clear"/>
            <w:tcMar>
              <w:top w:type="dxa" w:w="50"/>
              <w:left w:type="dxa" w:w="80"/>
              <w:bottom w:type="dxa" w:w="50"/>
              <w:right w:type="dxa" w:w="80"/>
            </w:tcMar>
          </w:tcPr>
          <w:p>
            <w:r>
              <w:rPr>
                <w:rFonts w:ascii="Arial" w:cs="Arial" w:eastAsia="Arial" w:hAnsi="Arial"/>
                <w:sz w:val="20"/>
                <w:szCs w:val="20"/>
              </w:rPr>
              <w:t xml:space="preserve">$4,500 – $9,000</w:t>
            </w:r>
          </w:p>
        </w:tc>
        <w:tc>
          <w:tcPr>
            <w:tcW w:type="dxa" w:w="284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2F2F2" w:val="clear"/>
            <w:tcMar>
              <w:top w:type="dxa" w:w="50"/>
              <w:left w:type="dxa" w:w="80"/>
              <w:bottom w:type="dxa" w:w="50"/>
              <w:right w:type="dxa" w:w="80"/>
            </w:tcMar>
          </w:tcPr>
          <w:p>
            <w:r>
              <w:rPr>
                <w:rFonts w:ascii="Arial" w:cs="Arial" w:eastAsia="Arial" w:hAnsi="Arial"/>
                <w:sz w:val="20"/>
                <w:szCs w:val="20"/>
              </w:rPr>
              <w:t xml:space="preserve">埃及港口</w:t>
            </w:r>
          </w:p>
        </w:tc>
      </w:tr>
      <w:tr>
        <w:tc>
          <w:tcPr>
            <w:tcW w:type="dxa" w:w="2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val="clear"/>
            <w:tcMar>
              <w:top w:type="dxa" w:w="50"/>
              <w:left w:type="dxa" w:w="80"/>
              <w:bottom w:type="dxa" w:w="50"/>
              <w:right w:type="dxa" w:w="80"/>
            </w:tcMar>
          </w:tcPr>
          <w:p>
            <w:r>
              <w:rPr>
                <w:rFonts w:ascii="Arial" w:cs="Arial" w:eastAsia="Arial" w:hAnsi="Arial"/>
                <w:sz w:val="20"/>
                <w:szCs w:val="20"/>
              </w:rPr>
              <w:t xml:space="preserve">上海 / 宁波</w:t>
            </w:r>
          </w:p>
        </w:tc>
        <w:tc>
          <w:tcPr>
            <w:tcW w:type="dxa" w:w="2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val="clear"/>
            <w:tcMar>
              <w:top w:type="dxa" w:w="50"/>
              <w:left w:type="dxa" w:w="80"/>
              <w:bottom w:type="dxa" w:w="50"/>
              <w:right w:type="dxa" w:w="80"/>
            </w:tcMar>
          </w:tcPr>
          <w:p>
            <w:r>
              <w:rPr>
                <w:rFonts w:ascii="Arial" w:cs="Arial" w:eastAsia="Arial" w:hAnsi="Arial"/>
                <w:sz w:val="20"/>
                <w:szCs w:val="20"/>
              </w:rPr>
              <w:t xml:space="preserve">亚喀巴 (Aqaba)</w:t>
            </w:r>
          </w:p>
        </w:tc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val="clear"/>
            <w:tcMar>
              <w:top w:type="dxa" w:w="50"/>
              <w:left w:type="dxa" w:w="80"/>
              <w:bottom w:type="dxa" w:w="50"/>
              <w:right w:type="dxa" w:w="80"/>
            </w:tcMar>
          </w:tcPr>
          <w:p>
            <w:r>
              <w:rPr>
                <w:rFonts w:ascii="Arial" w:cs="Arial" w:eastAsia="Arial" w:hAnsi="Arial"/>
                <w:sz w:val="20"/>
                <w:szCs w:val="20"/>
              </w:rPr>
              <w:t xml:space="preserve">$5,000 – $9,500</w:t>
            </w:r>
          </w:p>
        </w:tc>
        <w:tc>
          <w:tcPr>
            <w:tcW w:type="dxa" w:w="284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val="clear"/>
            <w:tcMar>
              <w:top w:type="dxa" w:w="50"/>
              <w:left w:type="dxa" w:w="80"/>
              <w:bottom w:type="dxa" w:w="50"/>
              <w:right w:type="dxa" w:w="80"/>
            </w:tcMar>
          </w:tcPr>
          <w:p>
            <w:r>
              <w:rPr>
                <w:rFonts w:ascii="Arial" w:cs="Arial" w:eastAsia="Arial" w:hAnsi="Arial"/>
                <w:sz w:val="20"/>
                <w:szCs w:val="20"/>
              </w:rPr>
              <w:t xml:space="preserve">约旦</w:t>
            </w:r>
          </w:p>
        </w:tc>
      </w:tr>
      <w:tr>
        <w:tc>
          <w:tcPr>
            <w:tcW w:type="dxa" w:w="2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2F2F2" w:val="clear"/>
            <w:tcMar>
              <w:top w:type="dxa" w:w="50"/>
              <w:left w:type="dxa" w:w="80"/>
              <w:bottom w:type="dxa" w:w="50"/>
              <w:right w:type="dxa" w:w="80"/>
            </w:tcMar>
          </w:tcPr>
          <w:p>
            <w:r>
              <w:rPr>
                <w:rFonts w:ascii="Arial" w:cs="Arial" w:eastAsia="Arial" w:hAnsi="Arial"/>
                <w:sz w:val="20"/>
                <w:szCs w:val="20"/>
              </w:rPr>
              <w:t xml:space="preserve">南沙 / 蛇口</w:t>
            </w:r>
          </w:p>
        </w:tc>
        <w:tc>
          <w:tcPr>
            <w:tcW w:type="dxa" w:w="2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2F2F2" w:val="clear"/>
            <w:tcMar>
              <w:top w:type="dxa" w:w="50"/>
              <w:left w:type="dxa" w:w="80"/>
              <w:bottom w:type="dxa" w:w="50"/>
              <w:right w:type="dxa" w:w="80"/>
            </w:tcMar>
          </w:tcPr>
          <w:p>
            <w:r>
              <w:rPr>
                <w:rFonts w:ascii="Arial" w:cs="Arial" w:eastAsia="Arial" w:hAnsi="Arial"/>
                <w:sz w:val="20"/>
                <w:szCs w:val="20"/>
              </w:rPr>
              <w:t xml:space="preserve">吉达</w:t>
            </w:r>
          </w:p>
        </w:tc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2F2F2" w:val="clear"/>
            <w:tcMar>
              <w:top w:type="dxa" w:w="50"/>
              <w:left w:type="dxa" w:w="80"/>
              <w:bottom w:type="dxa" w:w="50"/>
              <w:right w:type="dxa" w:w="80"/>
            </w:tcMar>
          </w:tcPr>
          <w:p>
            <w:r>
              <w:rPr>
                <w:rFonts w:ascii="Arial" w:cs="Arial" w:eastAsia="Arial" w:hAnsi="Arial"/>
                <w:sz w:val="20"/>
                <w:szCs w:val="20"/>
              </w:rPr>
              <w:t xml:space="preserve">$4,500 – $10,000</w:t>
            </w:r>
          </w:p>
        </w:tc>
        <w:tc>
          <w:tcPr>
            <w:tcW w:type="dxa" w:w="284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2F2F2" w:val="clear"/>
            <w:tcMar>
              <w:top w:type="dxa" w:w="50"/>
              <w:left w:type="dxa" w:w="80"/>
              <w:bottom w:type="dxa" w:w="50"/>
              <w:right w:type="dxa" w:w="80"/>
            </w:tcMar>
          </w:tcPr>
          <w:p>
            <w:r>
              <w:rPr>
                <w:rFonts w:ascii="Arial" w:cs="Arial" w:eastAsia="Arial" w:hAnsi="Arial"/>
                <w:sz w:val="20"/>
                <w:szCs w:val="20"/>
              </w:rPr>
              <w:t xml:space="preserve">华南相对快</w:t>
            </w:r>
          </w:p>
        </w:tc>
      </w:tr>
      <w:tr>
        <w:tc>
          <w:tcPr>
            <w:tcW w:type="dxa" w:w="2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val="clear"/>
            <w:tcMar>
              <w:top w:type="dxa" w:w="50"/>
              <w:left w:type="dxa" w:w="80"/>
              <w:bottom w:type="dxa" w:w="50"/>
              <w:right w:type="dxa" w:w="80"/>
            </w:tcMar>
          </w:tcPr>
          <w:p>
            <w:r>
              <w:rPr>
                <w:rFonts w:ascii="Arial" w:cs="Arial" w:eastAsia="Arial" w:hAnsi="Arial"/>
                <w:sz w:val="20"/>
                <w:szCs w:val="20"/>
              </w:rPr>
              <w:t xml:space="preserve">南沙 / 蛇口</w:t>
            </w:r>
          </w:p>
        </w:tc>
        <w:tc>
          <w:tcPr>
            <w:tcW w:type="dxa" w:w="2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val="clear"/>
            <w:tcMar>
              <w:top w:type="dxa" w:w="50"/>
              <w:left w:type="dxa" w:w="80"/>
              <w:bottom w:type="dxa" w:w="50"/>
              <w:right w:type="dxa" w:w="80"/>
            </w:tcMar>
          </w:tcPr>
          <w:p>
            <w:r>
              <w:rPr>
                <w:rFonts w:ascii="Arial" w:cs="Arial" w:eastAsia="Arial" w:hAnsi="Arial"/>
                <w:sz w:val="20"/>
                <w:szCs w:val="20"/>
              </w:rPr>
              <w:t xml:space="preserve">索赫纳 / 亚喀巴</w:t>
            </w:r>
          </w:p>
        </w:tc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val="clear"/>
            <w:tcMar>
              <w:top w:type="dxa" w:w="50"/>
              <w:left w:type="dxa" w:w="80"/>
              <w:bottom w:type="dxa" w:w="50"/>
              <w:right w:type="dxa" w:w="80"/>
            </w:tcMar>
          </w:tcPr>
          <w:p>
            <w:r>
              <w:rPr>
                <w:rFonts w:ascii="Arial" w:cs="Arial" w:eastAsia="Arial" w:hAnsi="Arial"/>
                <w:sz w:val="20"/>
                <w:szCs w:val="20"/>
              </w:rPr>
              <w:t xml:space="preserve">$4,000 – $8,500</w:t>
            </w:r>
          </w:p>
        </w:tc>
        <w:tc>
          <w:tcPr>
            <w:tcW w:type="dxa" w:w="284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val="clear"/>
            <w:tcMar>
              <w:top w:type="dxa" w:w="50"/>
              <w:left w:type="dxa" w:w="80"/>
              <w:bottom w:type="dxa" w:w="50"/>
              <w:right w:type="dxa" w:w="80"/>
            </w:tcMar>
          </w:tcPr>
          <w:p>
            <w:r>
              <w:rPr>
                <w:rFonts w:ascii="Arial" w:cs="Arial" w:eastAsia="Arial" w:hAnsi="Arial"/>
                <w:sz w:val="20"/>
                <w:szCs w:val="20"/>
              </w:rPr>
              <w:t xml:space="preserve"/>
            </w:r>
          </w:p>
        </w:tc>
      </w:tr>
      <w:tr>
        <w:tc>
          <w:tcPr>
            <w:tcW w:type="dxa" w:w="2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2F2F2" w:val="clear"/>
            <w:tcMar>
              <w:top w:type="dxa" w:w="50"/>
              <w:left w:type="dxa" w:w="80"/>
              <w:bottom w:type="dxa" w:w="50"/>
              <w:right w:type="dxa" w:w="80"/>
            </w:tcMar>
          </w:tcPr>
          <w:p>
            <w:r>
              <w:rPr>
                <w:rFonts w:ascii="Arial" w:cs="Arial" w:eastAsia="Arial" w:hAnsi="Arial"/>
                <w:sz w:val="20"/>
                <w:szCs w:val="20"/>
              </w:rPr>
              <w:t xml:space="preserve">青岛</w:t>
            </w:r>
          </w:p>
        </w:tc>
        <w:tc>
          <w:tcPr>
            <w:tcW w:type="dxa" w:w="2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2F2F2" w:val="clear"/>
            <w:tcMar>
              <w:top w:type="dxa" w:w="50"/>
              <w:left w:type="dxa" w:w="80"/>
              <w:bottom w:type="dxa" w:w="50"/>
              <w:right w:type="dxa" w:w="80"/>
            </w:tcMar>
          </w:tcPr>
          <w:p>
            <w:r>
              <w:rPr>
                <w:rFonts w:ascii="Arial" w:cs="Arial" w:eastAsia="Arial" w:hAnsi="Arial"/>
                <w:sz w:val="20"/>
                <w:szCs w:val="20"/>
              </w:rPr>
              <w:t xml:space="preserve">吉达等</w:t>
            </w:r>
          </w:p>
        </w:tc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2F2F2" w:val="clear"/>
            <w:tcMar>
              <w:top w:type="dxa" w:w="50"/>
              <w:left w:type="dxa" w:w="80"/>
              <w:bottom w:type="dxa" w:w="50"/>
              <w:right w:type="dxa" w:w="80"/>
            </w:tcMar>
          </w:tcPr>
          <w:p>
            <w:r>
              <w:rPr>
                <w:rFonts w:ascii="Arial" w:cs="Arial" w:eastAsia="Arial" w:hAnsi="Arial"/>
                <w:sz w:val="20"/>
                <w:szCs w:val="20"/>
              </w:rPr>
              <w:t xml:space="preserve">$5,500 – $11,000</w:t>
            </w:r>
          </w:p>
        </w:tc>
        <w:tc>
          <w:tcPr>
            <w:tcW w:type="dxa" w:w="284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2F2F2" w:val="clear"/>
            <w:tcMar>
              <w:top w:type="dxa" w:w="50"/>
              <w:left w:type="dxa" w:w="80"/>
              <w:bottom w:type="dxa" w:w="50"/>
              <w:right w:type="dxa" w:w="80"/>
            </w:tcMar>
          </w:tcPr>
          <w:p>
            <w:r>
              <w:rPr>
                <w:rFonts w:ascii="Arial" w:cs="Arial" w:eastAsia="Arial" w:hAnsi="Arial"/>
                <w:sz w:val="20"/>
                <w:szCs w:val="20"/>
              </w:rPr>
              <w:t xml:space="preserve">挂靠较少</w:t>
            </w:r>
          </w:p>
        </w:tc>
      </w:tr>
    </w:tbl>
    <w:p>
      <w:pPr>
        <w:spacing w:after="60" w:before="160"/>
      </w:pPr>
      <w:r>
        <w:rPr>
          <w:b/>
          <w:bCs/>
          <w:sz w:val="20"/>
          <w:szCs w:val="20"/>
        </w:rPr>
        <w:t xml:space="preserve">补充说明：</w:t>
      </w:r>
    </w:p>
    <w:p>
      <w:pPr>
        <w:pStyle w:val="ListParagraph"/>
        <w:numPr>
          <w:ilvl w:val="0"/>
          <w:numId w:val="2"/>
        </w:numPr>
      </w:pPr>
      <w:r>
        <w:rPr>
          <w:sz w:val="20"/>
          <w:szCs w:val="20"/>
        </w:rPr>
        <w:t xml:space="preserve">20GP 通常约为 40HQ 的 60-75%。</w:t>
      </w:r>
    </w:p>
    <w:p>
      <w:pPr>
        <w:pStyle w:val="ListParagraph"/>
        <w:numPr>
          <w:ilvl w:val="0"/>
          <w:numId w:val="2"/>
        </w:numPr>
      </w:pPr>
      <w:r>
        <w:rPr>
          <w:sz w:val="20"/>
          <w:szCs w:val="20"/>
        </w:rPr>
        <w:t xml:space="preserve">含战争险、燃油等附加费后实际更高。</w:t>
      </w:r>
    </w:p>
    <w:p>
      <w:pPr>
        <w:pStyle w:val="ListParagraph"/>
        <w:numPr>
          <w:ilvl w:val="0"/>
          <w:numId w:val="2"/>
        </w:numPr>
      </w:pPr>
      <w:r>
        <w:rPr>
          <w:sz w:val="20"/>
          <w:szCs w:val="20"/>
        </w:rPr>
        <w:t xml:space="preserve">直航舱位紧张时价格上浮明显。</w:t>
      </w:r>
    </w:p>
    <w:p>
      <w:pPr>
        <w:pStyle w:val="Heading1"/>
      </w:pPr>
      <w:r>
        <w:t xml:space="preserve">二、主要航线与船司服务</w:t>
      </w:r>
    </w:p>
    <w:p>
      <w:pPr>
        <w:pStyle w:val="Heading2"/>
      </w:pPr>
      <w:r>
        <w:t xml:space="preserve">常见挂靠港口</w:t>
      </w:r>
    </w:p>
    <w:p>
      <w:pPr>
        <w:pStyle w:val="ListParagraph"/>
        <w:numPr>
          <w:ilvl w:val="0"/>
          <w:numId w:val="2"/>
        </w:numPr>
      </w:pPr>
      <w:r>
        <w:rPr>
          <w:sz w:val="20"/>
          <w:szCs w:val="20"/>
        </w:rPr>
        <w:t xml:space="preserve">起运：上海 / 宁波 / 南沙 / 蛇口</w:t>
      </w:r>
    </w:p>
    <w:p>
      <w:pPr>
        <w:pStyle w:val="ListParagraph"/>
        <w:numPr>
          <w:ilvl w:val="0"/>
          <w:numId w:val="2"/>
        </w:numPr>
      </w:pPr>
      <w:r>
        <w:rPr>
          <w:sz w:val="20"/>
          <w:szCs w:val="20"/>
        </w:rPr>
        <w:t xml:space="preserve">目的：吉达 / 索赫纳 / 亚喀巴</w:t>
      </w:r>
    </w:p>
    <w:p>
      <w:pPr>
        <w:pStyle w:val="Heading2"/>
      </w:pPr>
      <w:r>
        <w:t xml:space="preserve">主要船司</w:t>
      </w:r>
    </w:p>
    <w:p>
      <w:pPr>
        <w:pStyle w:val="ListParagraph"/>
        <w:numPr>
          <w:ilvl w:val="0"/>
          <w:numId w:val="2"/>
        </w:numPr>
      </w:pPr>
      <w:r>
        <w:rPr>
          <w:sz w:val="20"/>
          <w:szCs w:val="20"/>
        </w:rPr>
        <w:t xml:space="preserve">COSCO / OOCL（有CJX等服务）</w:t>
      </w:r>
    </w:p>
    <w:p>
      <w:pPr>
        <w:pStyle w:val="ListParagraph"/>
        <w:numPr>
          <w:ilvl w:val="0"/>
          <w:numId w:val="2"/>
        </w:numPr>
      </w:pPr>
      <w:r>
        <w:rPr>
          <w:sz w:val="20"/>
          <w:szCs w:val="20"/>
        </w:rPr>
        <w:t xml:space="preserve">ONE（RC2等）</w:t>
      </w:r>
    </w:p>
    <w:p>
      <w:pPr>
        <w:pStyle w:val="ListParagraph"/>
        <w:numPr>
          <w:ilvl w:val="0"/>
          <w:numId w:val="2"/>
        </w:numPr>
      </w:pPr>
      <w:r>
        <w:rPr>
          <w:sz w:val="20"/>
          <w:szCs w:val="20"/>
        </w:rPr>
        <w:t xml:space="preserve">CU Lines（中联航运，RES周班）</w:t>
      </w:r>
    </w:p>
    <w:p>
      <w:pPr>
        <w:pStyle w:val="ListParagraph"/>
        <w:numPr>
          <w:ilvl w:val="0"/>
          <w:numId w:val="2"/>
        </w:numPr>
      </w:pPr>
      <w:r>
        <w:rPr>
          <w:sz w:val="20"/>
          <w:szCs w:val="20"/>
        </w:rPr>
        <w:t xml:space="preserve">RCL、GFS、TS Lines、Emirates Shipping等</w:t>
      </w:r>
    </w:p>
    <w:p>
      <w:pPr>
        <w:pStyle w:val="ListParagraph"/>
        <w:numPr>
          <w:ilvl w:val="0"/>
          <w:numId w:val="2"/>
        </w:numPr>
      </w:pPr>
      <w:r>
        <w:rPr>
          <w:sz w:val="20"/>
          <w:szCs w:val="20"/>
        </w:rPr>
        <w:t xml:space="preserve">CMA CGM、MSC等部分恢复</w:t>
      </w:r>
    </w:p>
    <w:p>
      <w:pPr>
        <w:pStyle w:val="Heading2"/>
      </w:pPr>
      <w:r>
        <w:t xml:space="preserve">大致时效（直航）</w:t>
      </w:r>
    </w:p>
    <w:p>
      <w:pPr>
        <w:pStyle w:val="ListParagraph"/>
        <w:numPr>
          <w:ilvl w:val="0"/>
          <w:numId w:val="2"/>
        </w:numPr>
      </w:pPr>
      <w:r>
        <w:rPr>
          <w:sz w:val="20"/>
          <w:szCs w:val="20"/>
        </w:rPr>
        <w:t xml:space="preserve">华南 → 吉达：16-22天</w:t>
      </w:r>
    </w:p>
    <w:p>
      <w:pPr>
        <w:pStyle w:val="ListParagraph"/>
        <w:numPr>
          <w:ilvl w:val="0"/>
          <w:numId w:val="2"/>
        </w:numPr>
      </w:pPr>
      <w:r>
        <w:rPr>
          <w:sz w:val="20"/>
          <w:szCs w:val="20"/>
        </w:rPr>
        <w:t xml:space="preserve">华东 → 吉达：18-25天</w:t>
      </w:r>
    </w:p>
    <w:p>
      <w:pPr>
        <w:pStyle w:val="ListParagraph"/>
        <w:numPr>
          <w:ilvl w:val="0"/>
          <w:numId w:val="2"/>
        </w:numPr>
      </w:pPr>
      <w:r>
        <w:rPr>
          <w:sz w:val="20"/>
          <w:szCs w:val="20"/>
        </w:rPr>
        <w:t xml:space="preserve">到亚喀巴/索赫纳再加2-5天</w:t>
      </w:r>
    </w:p>
    <w:p>
      <w:pPr>
        <w:pStyle w:val="ListParagraph"/>
        <w:numPr>
          <w:ilvl w:val="0"/>
          <w:numId w:val="2"/>
        </w:numPr>
      </w:pPr>
      <w:r>
        <w:rPr>
          <w:sz w:val="20"/>
          <w:szCs w:val="20"/>
        </w:rPr>
        <w:t xml:space="preserve">绕好望角则多10-14天</w:t>
      </w:r>
    </w:p>
    <w:p>
      <w:pPr>
        <w:pStyle w:val="Heading1"/>
      </w:pPr>
      <w:r>
        <w:t xml:space="preserve">三、中国出口报关手续</w:t>
      </w:r>
    </w:p>
    <w:p>
      <w:pPr>
        <w:pStyle w:val="ListParagraph"/>
        <w:numPr>
          <w:ilvl w:val="0"/>
          <w:numId w:val="3"/>
        </w:numPr>
      </w:pPr>
      <w:r>
        <w:rPr>
          <w:sz w:val="20"/>
          <w:szCs w:val="20"/>
        </w:rPr>
        <w:t xml:space="preserve">准备合同、商业发票、装箱单、报关单</w:t>
      </w:r>
    </w:p>
    <w:p>
      <w:pPr>
        <w:pStyle w:val="ListParagraph"/>
        <w:numPr>
          <w:ilvl w:val="0"/>
          <w:numId w:val="3"/>
        </w:numPr>
      </w:pPr>
      <w:r>
        <w:rPr>
          <w:sz w:val="20"/>
          <w:szCs w:val="20"/>
        </w:rPr>
        <w:t xml:space="preserve">如需法检：先做商检（CIQ）拿通关单</w:t>
      </w:r>
    </w:p>
    <w:p>
      <w:pPr>
        <w:pStyle w:val="ListParagraph"/>
        <w:numPr>
          <w:ilvl w:val="0"/>
          <w:numId w:val="3"/>
        </w:numPr>
      </w:pPr>
      <w:r>
        <w:rPr>
          <w:sz w:val="20"/>
          <w:szCs w:val="20"/>
        </w:rPr>
        <w:t xml:space="preserve">向海关申报（通过报关行）</w:t>
      </w:r>
    </w:p>
    <w:p>
      <w:pPr>
        <w:pStyle w:val="ListParagraph"/>
        <w:numPr>
          <w:ilvl w:val="0"/>
          <w:numId w:val="3"/>
        </w:numPr>
      </w:pPr>
      <w:r>
        <w:rPr>
          <w:sz w:val="20"/>
          <w:szCs w:val="20"/>
        </w:rPr>
        <w:t xml:space="preserve">放行后装船</w:t>
      </w:r>
    </w:p>
    <w:p>
      <w:pPr>
        <w:pStyle w:val="ListParagraph"/>
        <w:numPr>
          <w:ilvl w:val="0"/>
          <w:numId w:val="3"/>
        </w:numPr>
      </w:pPr>
      <w:r>
        <w:rPr>
          <w:sz w:val="20"/>
          <w:szCs w:val="20"/>
        </w:rPr>
        <w:t xml:space="preserve">获取提单（正本或电放）</w:t>
      </w:r>
    </w:p>
    <w:p>
      <w:pPr>
        <w:spacing w:before="100"/>
      </w:pPr>
      <w:r>
        <w:rPr>
          <w:b/>
          <w:bCs/>
          <w:color w:val="C00000"/>
          <w:sz w:val="20"/>
          <w:szCs w:val="20"/>
        </w:rPr>
        <w:t xml:space="preserve">注意：发票、箱单、HS编码必须一致，禁止瞒报低报。</w:t>
      </w:r>
    </w:p>
    <w:p>
      <w:pPr>
        <w:pStyle w:val="Heading1"/>
      </w:pPr>
      <w:r>
        <w:t xml:space="preserve">四、到港清关要点</w:t>
      </w:r>
    </w:p>
    <w:p>
      <w:pPr>
        <w:pStyle w:val="Heading2"/>
      </w:pPr>
      <w:r>
        <w:t xml:space="preserve">沙特（吉达）— 最严</w:t>
      </w:r>
    </w:p>
    <w:p>
      <w:pPr>
        <w:pStyle w:val="ListParagraph"/>
        <w:numPr>
          <w:ilvl w:val="0"/>
          <w:numId w:val="2"/>
        </w:numPr>
      </w:pPr>
      <w:r>
        <w:rPr>
          <w:sz w:val="20"/>
          <w:szCs w:val="20"/>
        </w:rPr>
        <w:t xml:space="preserve">必须提前办 SABER认证（PCoC + SCoC）</w:t>
      </w:r>
    </w:p>
    <w:p>
      <w:pPr>
        <w:pStyle w:val="ListParagraph"/>
        <w:numPr>
          <w:ilvl w:val="0"/>
          <w:numId w:val="2"/>
        </w:numPr>
      </w:pPr>
      <w:r>
        <w:rPr>
          <w:sz w:val="20"/>
          <w:szCs w:val="20"/>
        </w:rPr>
        <w:t xml:space="preserve">提单需显示收货人CR号，不接受电放</w:t>
      </w:r>
    </w:p>
    <w:p>
      <w:pPr>
        <w:pStyle w:val="ListParagraph"/>
        <w:numPr>
          <w:ilvl w:val="0"/>
          <w:numId w:val="2"/>
        </w:numPr>
      </w:pPr>
      <w:r>
        <w:rPr>
          <w:sz w:val="20"/>
          <w:szCs w:val="20"/>
        </w:rPr>
        <w:t xml:space="preserve">标签必须阿拉伯语+英语，Made in China</w:t>
      </w:r>
    </w:p>
    <w:p>
      <w:pPr>
        <w:pStyle w:val="ListParagraph"/>
        <w:numPr>
          <w:ilvl w:val="0"/>
          <w:numId w:val="2"/>
        </w:numPr>
      </w:pPr>
      <w:r>
        <w:rPr>
          <w:sz w:val="20"/>
          <w:szCs w:val="20"/>
        </w:rPr>
        <w:t xml:space="preserve">木质包装需IPPC熏蒸</w:t>
      </w:r>
    </w:p>
    <w:p>
      <w:pPr>
        <w:pStyle w:val="Heading2"/>
      </w:pPr>
      <w:r>
        <w:t xml:space="preserve">埃及（索赫纳）</w:t>
      </w:r>
    </w:p>
    <w:p>
      <w:pPr>
        <w:pStyle w:val="ListParagraph"/>
        <w:numPr>
          <w:ilvl w:val="0"/>
          <w:numId w:val="2"/>
        </w:numPr>
      </w:pPr>
      <w:r>
        <w:rPr>
          <w:sz w:val="20"/>
          <w:szCs w:val="20"/>
        </w:rPr>
        <w:t xml:space="preserve">需ACID预申报系统</w:t>
      </w:r>
    </w:p>
    <w:p>
      <w:pPr>
        <w:pStyle w:val="ListParagraph"/>
        <w:numPr>
          <w:ilvl w:val="0"/>
          <w:numId w:val="2"/>
        </w:numPr>
      </w:pPr>
      <w:r>
        <w:rPr>
          <w:sz w:val="20"/>
          <w:szCs w:val="20"/>
        </w:rPr>
        <w:t xml:space="preserve">部分商品需品牌授权</w:t>
      </w:r>
    </w:p>
    <w:p>
      <w:pPr>
        <w:pStyle w:val="Heading2"/>
      </w:pPr>
      <w:r>
        <w:t xml:space="preserve">约旦（亚喀巴）</w:t>
      </w:r>
    </w:p>
    <w:p>
      <w:pPr>
        <w:pStyle w:val="ListParagraph"/>
        <w:numPr>
          <w:ilvl w:val="0"/>
          <w:numId w:val="2"/>
        </w:numPr>
      </w:pPr>
      <w:r>
        <w:rPr>
          <w:sz w:val="20"/>
          <w:szCs w:val="20"/>
        </w:rPr>
        <w:t xml:space="preserve">相对宽松，但需完整发票、原产地证</w:t>
      </w:r>
    </w:p>
    <w:p>
      <w:pPr>
        <w:pStyle w:val="ListParagraph"/>
        <w:numPr>
          <w:ilvl w:val="0"/>
          <w:numId w:val="2"/>
        </w:numPr>
      </w:pPr>
      <w:r>
        <w:rPr>
          <w:sz w:val="20"/>
          <w:szCs w:val="20"/>
        </w:rPr>
        <w:t xml:space="preserve">可利用亚喀巴特区保税</w:t>
      </w:r>
    </w:p>
    <w:p>
      <w:pPr>
        <w:pStyle w:val="Heading2"/>
      </w:pPr>
      <w:r>
        <w:t xml:space="preserve">通用要求</w:t>
      </w:r>
    </w:p>
    <w:p>
      <w:pPr>
        <w:pStyle w:val="ListParagraph"/>
        <w:numPr>
          <w:ilvl w:val="0"/>
          <w:numId w:val="2"/>
        </w:numPr>
      </w:pPr>
      <w:r>
        <w:rPr>
          <w:sz w:val="20"/>
          <w:szCs w:val="20"/>
        </w:rPr>
        <w:t xml:space="preserve">商业发票、装箱单、提单、原产地证</w:t>
      </w:r>
    </w:p>
    <w:p>
      <w:pPr>
        <w:pStyle w:val="ListParagraph"/>
        <w:numPr>
          <w:ilvl w:val="0"/>
          <w:numId w:val="2"/>
        </w:numPr>
      </w:pPr>
      <w:r>
        <w:rPr>
          <w:sz w:val="20"/>
          <w:szCs w:val="20"/>
        </w:rPr>
        <w:t xml:space="preserve">部分国家要求领事认证</w:t>
      </w:r>
    </w:p>
    <w:p>
      <w:pPr>
        <w:pStyle w:val="ListParagraph"/>
        <w:numPr>
          <w:ilvl w:val="0"/>
          <w:numId w:val="2"/>
        </w:numPr>
      </w:pPr>
      <w:r>
        <w:rPr>
          <w:sz w:val="20"/>
          <w:szCs w:val="20"/>
        </w:rPr>
        <w:t xml:space="preserve">禁止含酒精、猪肉、以色列相关元素</w:t>
      </w:r>
    </w:p>
    <w:p>
      <w:pPr>
        <w:pStyle w:val="Heading1"/>
      </w:pPr>
      <w:r>
        <w:t xml:space="preserve">五、SABER认证流程</w:t>
      </w:r>
    </w:p>
    <w:p>
      <w:pPr>
        <w:spacing w:after="80"/>
      </w:pPr>
      <w:r>
        <w:rPr>
          <w:sz w:val="20"/>
          <w:szCs w:val="20"/>
        </w:rPr>
        <w:t xml:space="preserve">SABER是沙特海关清关系统，分两张证书：</w:t>
      </w:r>
    </w:p>
    <w:p>
      <w:pPr>
        <w:pStyle w:val="ListParagraph"/>
        <w:numPr>
          <w:ilvl w:val="0"/>
          <w:numId w:val="2"/>
        </w:numPr>
      </w:pPr>
      <w:r>
        <w:rPr>
          <w:sz w:val="20"/>
          <w:szCs w:val="20"/>
        </w:rPr>
        <w:t xml:space="preserve">PCoC（产品符合性证书）：按型号，有效期1年</w:t>
      </w:r>
    </w:p>
    <w:p>
      <w:pPr>
        <w:pStyle w:val="ListParagraph"/>
        <w:numPr>
          <w:ilvl w:val="0"/>
          <w:numId w:val="2"/>
        </w:numPr>
      </w:pPr>
      <w:r>
        <w:rPr>
          <w:sz w:val="20"/>
          <w:szCs w:val="20"/>
        </w:rPr>
        <w:t xml:space="preserve">SCoC（装运符合性证书）：按每票货，只对当批有效</w:t>
      </w:r>
    </w:p>
    <w:p>
      <w:pPr>
        <w:spacing w:after="120" w:before="80"/>
      </w:pPr>
      <w:r>
        <w:rPr>
          <w:b/>
          <w:bCs/>
          <w:color w:val="C00000"/>
          <w:sz w:val="20"/>
          <w:szCs w:val="20"/>
        </w:rPr>
        <w:t xml:space="preserve">没有SCoC，货物无法清关。</w:t>
      </w:r>
    </w:p>
    <w:p>
      <w:pPr>
        <w:pStyle w:val="Heading2"/>
      </w:pPr>
      <w:r>
        <w:t xml:space="preserve">操作步骤</w:t>
      </w:r>
    </w:p>
    <w:p>
      <w:pPr>
        <w:pStyle w:val="ListParagraph"/>
        <w:numPr>
          <w:ilvl w:val="0"/>
          <w:numId w:val="3"/>
        </w:numPr>
      </w:pPr>
      <w:r>
        <w:rPr>
          <w:sz w:val="20"/>
          <w:szCs w:val="20"/>
        </w:rPr>
        <w:t xml:space="preserve">用HS编码在 saber.sa 确认产品是否受管制</w:t>
      </w:r>
    </w:p>
    <w:p>
      <w:pPr>
        <w:pStyle w:val="ListParagraph"/>
        <w:numPr>
          <w:ilvl w:val="0"/>
          <w:numId w:val="3"/>
        </w:numPr>
      </w:pPr>
      <w:r>
        <w:rPr>
          <w:sz w:val="20"/>
          <w:szCs w:val="20"/>
        </w:rPr>
        <w:t xml:space="preserve">沙特进口商（有CR号）在SABER平台注册账号</w:t>
      </w:r>
    </w:p>
    <w:p>
      <w:pPr>
        <w:pStyle w:val="ListParagraph"/>
        <w:numPr>
          <w:ilvl w:val="0"/>
          <w:numId w:val="3"/>
        </w:numPr>
      </w:pPr>
      <w:r>
        <w:rPr>
          <w:sz w:val="20"/>
          <w:szCs w:val="20"/>
        </w:rPr>
        <w:t xml:space="preserve">申请PCoC：上传检测报告、说明书、标签等，选认证机构审核</w:t>
      </w:r>
    </w:p>
    <w:p>
      <w:pPr>
        <w:pStyle w:val="ListParagraph"/>
        <w:numPr>
          <w:ilvl w:val="0"/>
          <w:numId w:val="3"/>
        </w:numPr>
      </w:pPr>
      <w:r>
        <w:rPr>
          <w:sz w:val="20"/>
          <w:szCs w:val="20"/>
        </w:rPr>
        <w:t xml:space="preserve">每次出货前申请SCoC：凭PCoC + 发票/箱单/提单信息提交</w:t>
      </w:r>
    </w:p>
    <w:p>
      <w:pPr>
        <w:pStyle w:val="ListParagraph"/>
        <w:numPr>
          <w:ilvl w:val="0"/>
          <w:numId w:val="3"/>
        </w:numPr>
      </w:pPr>
      <w:r>
        <w:rPr>
          <w:sz w:val="20"/>
          <w:szCs w:val="20"/>
        </w:rPr>
        <w:t xml:space="preserve">SCoC自动同步海关系统（FASAH），凭系统信息放行</w:t>
      </w:r>
    </w:p>
    <w:p>
      <w:pPr>
        <w:pStyle w:val="Heading2"/>
      </w:pPr>
      <w:r>
        <w:t xml:space="preserve">时间参考</w:t>
      </w:r>
    </w:p>
    <w:p>
      <w:pPr>
        <w:pStyle w:val="ListParagraph"/>
        <w:numPr>
          <w:ilvl w:val="0"/>
          <w:numId w:val="2"/>
        </w:numPr>
      </w:pPr>
      <w:r>
        <w:rPr>
          <w:sz w:val="20"/>
          <w:szCs w:val="20"/>
        </w:rPr>
        <w:t xml:space="preserve">PCoC：一般5-15个工作日（高风险可能需验厂）</w:t>
      </w:r>
    </w:p>
    <w:p>
      <w:pPr>
        <w:pStyle w:val="ListParagraph"/>
        <w:numPr>
          <w:ilvl w:val="0"/>
          <w:numId w:val="2"/>
        </w:numPr>
      </w:pPr>
      <w:r>
        <w:rPr>
          <w:sz w:val="20"/>
          <w:szCs w:val="20"/>
        </w:rPr>
        <w:t xml:space="preserve">SCoC：资料齐全通常1-3个工作日</w:t>
      </w:r>
    </w:p>
    <w:p>
      <w:pPr>
        <w:pStyle w:val="ListParagraph"/>
        <w:numPr>
          <w:ilvl w:val="0"/>
          <w:numId w:val="2"/>
        </w:numPr>
      </w:pPr>
      <w:r>
        <w:rPr>
          <w:sz w:val="20"/>
          <w:szCs w:val="20"/>
        </w:rPr>
        <w:t xml:space="preserve">必须在货物到港前拿到SCoC</w:t>
      </w:r>
    </w:p>
    <w:p>
      <w:pPr>
        <w:pStyle w:val="Heading1"/>
      </w:pPr>
      <w:r>
        <w:t xml:space="preserve">六、SABER认证费用明细</w:t>
      </w:r>
    </w:p>
    <w:p>
      <w:pPr>
        <w:pStyle w:val="Heading2"/>
      </w:pPr>
      <w:r>
        <w:t xml:space="preserve">官方平台固定费用（不含税）</w:t>
      </w:r>
    </w:p>
    <w:tbl>
      <w:tblPr>
        <w:tblW w:type="dxa" w:w="1024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400"/>
        <w:gridCol w:w="2800"/>
        <w:gridCol w:w="4040"/>
      </w:tblGrid>
      <w:tr>
        <w:tc>
          <w:tcPr>
            <w:tcW w:type="dxa" w:w="3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F4E79" w:val="clear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项目</w:t>
            </w:r>
          </w:p>
        </w:tc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F4E79" w:val="clear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费用</w:t>
            </w:r>
          </w:p>
        </w:tc>
        <w:tc>
          <w:tcPr>
            <w:tcW w:type="dxa" w:w="404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F4E79" w:val="clear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说明</w:t>
            </w:r>
          </w:p>
        </w:tc>
      </w:tr>
      <w:tr>
        <w:tc>
          <w:tcPr>
            <w:tcW w:type="dxa" w:w="3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val="clear"/>
            <w:tcMar>
              <w:top w:type="dxa" w:w="50"/>
              <w:left w:type="dxa" w:w="80"/>
              <w:bottom w:type="dxa" w:w="50"/>
              <w:right w:type="dxa" w:w="80"/>
            </w:tcMar>
          </w:tcPr>
          <w:p>
            <w:r>
              <w:rPr>
                <w:rFonts w:ascii="Arial" w:cs="Arial" w:eastAsia="Arial" w:hAnsi="Arial"/>
                <w:sz w:val="20"/>
                <w:szCs w:val="20"/>
              </w:rPr>
              <w:t xml:space="preserve">PCoC注册费</w:t>
            </w:r>
          </w:p>
        </w:tc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val="clear"/>
            <w:tcMar>
              <w:top w:type="dxa" w:w="50"/>
              <w:left w:type="dxa" w:w="80"/>
              <w:bottom w:type="dxa" w:w="50"/>
              <w:right w:type="dxa" w:w="80"/>
            </w:tcMar>
          </w:tcPr>
          <w:p>
            <w:r>
              <w:rPr>
                <w:rFonts w:ascii="Arial" w:cs="Arial" w:eastAsia="Arial" w:hAnsi="Arial"/>
                <w:sz w:val="20"/>
                <w:szCs w:val="20"/>
              </w:rPr>
              <w:t xml:space="preserve">约 500 SAR</w:t>
            </w:r>
          </w:p>
        </w:tc>
        <w:tc>
          <w:tcPr>
            <w:tcW w:type="dxa" w:w="404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val="clear"/>
            <w:tcMar>
              <w:top w:type="dxa" w:w="50"/>
              <w:left w:type="dxa" w:w="80"/>
              <w:bottom w:type="dxa" w:w="50"/>
              <w:right w:type="dxa" w:w="80"/>
            </w:tcMar>
          </w:tcPr>
          <w:p>
            <w:r>
              <w:rPr>
                <w:rFonts w:ascii="Arial" w:cs="Arial" w:eastAsia="Arial" w:hAnsi="Arial"/>
                <w:sz w:val="20"/>
                <w:szCs w:val="20"/>
              </w:rPr>
              <w:t xml:space="preserve">按产品型号，有效期1年</w:t>
            </w:r>
          </w:p>
        </w:tc>
      </w:tr>
      <w:tr>
        <w:tc>
          <w:tcPr>
            <w:tcW w:type="dxa" w:w="3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2F2F2" w:val="clear"/>
            <w:tcMar>
              <w:top w:type="dxa" w:w="50"/>
              <w:left w:type="dxa" w:w="80"/>
              <w:bottom w:type="dxa" w:w="50"/>
              <w:right w:type="dxa" w:w="80"/>
            </w:tcMar>
          </w:tcPr>
          <w:p>
            <w:r>
              <w:rPr>
                <w:rFonts w:ascii="Arial" w:cs="Arial" w:eastAsia="Arial" w:hAnsi="Arial"/>
                <w:sz w:val="20"/>
                <w:szCs w:val="20"/>
              </w:rPr>
              <w:t xml:space="preserve">SCoC签发费</w:t>
            </w:r>
          </w:p>
        </w:tc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2F2F2" w:val="clear"/>
            <w:tcMar>
              <w:top w:type="dxa" w:w="50"/>
              <w:left w:type="dxa" w:w="80"/>
              <w:bottom w:type="dxa" w:w="50"/>
              <w:right w:type="dxa" w:w="80"/>
            </w:tcMar>
          </w:tcPr>
          <w:p>
            <w:r>
              <w:rPr>
                <w:rFonts w:ascii="Arial" w:cs="Arial" w:eastAsia="Arial" w:hAnsi="Arial"/>
                <w:sz w:val="20"/>
                <w:szCs w:val="20"/>
              </w:rPr>
              <w:t xml:space="preserve">约 350 SAR</w:t>
            </w:r>
          </w:p>
        </w:tc>
        <w:tc>
          <w:tcPr>
            <w:tcW w:type="dxa" w:w="404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2F2F2" w:val="clear"/>
            <w:tcMar>
              <w:top w:type="dxa" w:w="50"/>
              <w:left w:type="dxa" w:w="80"/>
              <w:bottom w:type="dxa" w:w="50"/>
              <w:right w:type="dxa" w:w="80"/>
            </w:tcMar>
          </w:tcPr>
          <w:p>
            <w:r>
              <w:rPr>
                <w:rFonts w:ascii="Arial" w:cs="Arial" w:eastAsia="Arial" w:hAnsi="Arial"/>
                <w:sz w:val="20"/>
                <w:szCs w:val="20"/>
              </w:rPr>
              <w:t xml:space="preserve">每票货收取一次</w:t>
            </w:r>
          </w:p>
        </w:tc>
      </w:tr>
    </w:tbl>
    <w:p>
      <w:pPr>
        <w:pStyle w:val="Heading2"/>
      </w:pPr>
      <w:r>
        <w:t xml:space="preserve">其他可变费用</w:t>
      </w:r>
    </w:p>
    <w:tbl>
      <w:tblPr>
        <w:tblW w:type="dxa" w:w="1024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400"/>
        <w:gridCol w:w="2800"/>
        <w:gridCol w:w="4040"/>
      </w:tblGrid>
      <w:tr>
        <w:tc>
          <w:tcPr>
            <w:tcW w:type="dxa" w:w="3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F4E79" w:val="clear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费用项目</w:t>
            </w:r>
          </w:p>
        </w:tc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F4E79" w:val="clear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大致范围</w:t>
            </w:r>
          </w:p>
        </w:tc>
        <w:tc>
          <w:tcPr>
            <w:tcW w:type="dxa" w:w="404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F4E79" w:val="clear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说明</w:t>
            </w:r>
          </w:p>
        </w:tc>
      </w:tr>
      <w:tr>
        <w:tc>
          <w:tcPr>
            <w:tcW w:type="dxa" w:w="3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val="clear"/>
            <w:tcMar>
              <w:top w:type="dxa" w:w="50"/>
              <w:left w:type="dxa" w:w="80"/>
              <w:bottom w:type="dxa" w:w="50"/>
              <w:right w:type="dxa" w:w="80"/>
            </w:tcMar>
          </w:tcPr>
          <w:p>
            <w:r>
              <w:rPr>
                <w:rFonts w:ascii="Arial" w:cs="Arial" w:eastAsia="Arial" w:hAnsi="Arial"/>
                <w:sz w:val="20"/>
                <w:szCs w:val="20"/>
              </w:rPr>
              <w:t xml:space="preserve">认证机构审核费</w:t>
            </w:r>
          </w:p>
        </w:tc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val="clear"/>
            <w:tcMar>
              <w:top w:type="dxa" w:w="50"/>
              <w:left w:type="dxa" w:w="80"/>
              <w:bottom w:type="dxa" w:w="50"/>
              <w:right w:type="dxa" w:w="80"/>
            </w:tcMar>
          </w:tcPr>
          <w:p>
            <w:r>
              <w:rPr>
                <w:rFonts w:ascii="Arial" w:cs="Arial" w:eastAsia="Arial" w:hAnsi="Arial"/>
                <w:sz w:val="20"/>
                <w:szCs w:val="20"/>
              </w:rPr>
              <w:t xml:space="preserve">数百至数千美元</w:t>
            </w:r>
          </w:p>
        </w:tc>
        <w:tc>
          <w:tcPr>
            <w:tcW w:type="dxa" w:w="404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val="clear"/>
            <w:tcMar>
              <w:top w:type="dxa" w:w="50"/>
              <w:left w:type="dxa" w:w="80"/>
              <w:bottom w:type="dxa" w:w="50"/>
              <w:right w:type="dxa" w:w="80"/>
            </w:tcMar>
          </w:tcPr>
          <w:p>
            <w:r>
              <w:rPr>
                <w:rFonts w:ascii="Arial" w:cs="Arial" w:eastAsia="Arial" w:hAnsi="Arial"/>
                <w:sz w:val="20"/>
                <w:szCs w:val="20"/>
              </w:rPr>
              <w:t xml:space="preserve">按产品复杂度，SGS/Intertek等收取</w:t>
            </w:r>
          </w:p>
        </w:tc>
      </w:tr>
      <w:tr>
        <w:tc>
          <w:tcPr>
            <w:tcW w:type="dxa" w:w="3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2F2F2" w:val="clear"/>
            <w:tcMar>
              <w:top w:type="dxa" w:w="50"/>
              <w:left w:type="dxa" w:w="80"/>
              <w:bottom w:type="dxa" w:w="50"/>
              <w:right w:type="dxa" w:w="80"/>
            </w:tcMar>
          </w:tcPr>
          <w:p>
            <w:r>
              <w:rPr>
                <w:rFonts w:ascii="Arial" w:cs="Arial" w:eastAsia="Arial" w:hAnsi="Arial"/>
                <w:sz w:val="20"/>
                <w:szCs w:val="20"/>
              </w:rPr>
              <w:t xml:space="preserve">产品检测费</w:t>
            </w:r>
          </w:p>
        </w:tc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2F2F2" w:val="clear"/>
            <w:tcMar>
              <w:top w:type="dxa" w:w="50"/>
              <w:left w:type="dxa" w:w="80"/>
              <w:bottom w:type="dxa" w:w="50"/>
              <w:right w:type="dxa" w:w="80"/>
            </w:tcMar>
          </w:tcPr>
          <w:p>
            <w:r>
              <w:rPr>
                <w:rFonts w:ascii="Arial" w:cs="Arial" w:eastAsia="Arial" w:hAnsi="Arial"/>
                <w:sz w:val="20"/>
                <w:szCs w:val="20"/>
              </w:rPr>
              <w:t xml:space="preserve">$500 – $7,000+</w:t>
            </w:r>
          </w:p>
        </w:tc>
        <w:tc>
          <w:tcPr>
            <w:tcW w:type="dxa" w:w="404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2F2F2" w:val="clear"/>
            <w:tcMar>
              <w:top w:type="dxa" w:w="50"/>
              <w:left w:type="dxa" w:w="80"/>
              <w:bottom w:type="dxa" w:w="50"/>
              <w:right w:type="dxa" w:w="80"/>
            </w:tcMar>
          </w:tcPr>
          <w:p>
            <w:r>
              <w:rPr>
                <w:rFonts w:ascii="Arial" w:cs="Arial" w:eastAsia="Arial" w:hAnsi="Arial"/>
                <w:sz w:val="20"/>
                <w:szCs w:val="20"/>
              </w:rPr>
              <w:t xml:space="preserve">视测试项目多少</w:t>
            </w:r>
          </w:p>
        </w:tc>
      </w:tr>
      <w:tr>
        <w:tc>
          <w:tcPr>
            <w:tcW w:type="dxa" w:w="3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val="clear"/>
            <w:tcMar>
              <w:top w:type="dxa" w:w="50"/>
              <w:left w:type="dxa" w:w="80"/>
              <w:bottom w:type="dxa" w:w="50"/>
              <w:right w:type="dxa" w:w="80"/>
            </w:tcMar>
          </w:tcPr>
          <w:p>
            <w:r>
              <w:rPr>
                <w:rFonts w:ascii="Arial" w:cs="Arial" w:eastAsia="Arial" w:hAnsi="Arial"/>
                <w:sz w:val="20"/>
                <w:szCs w:val="20"/>
              </w:rPr>
              <w:t xml:space="preserve">工厂审核费（高风险）</w:t>
            </w:r>
          </w:p>
        </w:tc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val="clear"/>
            <w:tcMar>
              <w:top w:type="dxa" w:w="50"/>
              <w:left w:type="dxa" w:w="80"/>
              <w:bottom w:type="dxa" w:w="50"/>
              <w:right w:type="dxa" w:w="80"/>
            </w:tcMar>
          </w:tcPr>
          <w:p>
            <w:r>
              <w:rPr>
                <w:rFonts w:ascii="Arial" w:cs="Arial" w:eastAsia="Arial" w:hAnsi="Arial"/>
                <w:sz w:val="20"/>
                <w:szCs w:val="20"/>
              </w:rPr>
              <w:t xml:space="preserve">5,000–10,000 SAR</w:t>
            </w:r>
          </w:p>
        </w:tc>
        <w:tc>
          <w:tcPr>
            <w:tcW w:type="dxa" w:w="404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val="clear"/>
            <w:tcMar>
              <w:top w:type="dxa" w:w="50"/>
              <w:left w:type="dxa" w:w="80"/>
              <w:bottom w:type="dxa" w:w="50"/>
              <w:right w:type="dxa" w:w="80"/>
            </w:tcMar>
          </w:tcPr>
          <w:p>
            <w:r>
              <w:rPr>
                <w:rFonts w:ascii="Arial" w:cs="Arial" w:eastAsia="Arial" w:hAnsi="Arial"/>
                <w:sz w:val="20"/>
                <w:szCs w:val="20"/>
              </w:rPr>
              <w:t xml:space="preserve">部分高风险产品需要</w:t>
            </w:r>
          </w:p>
        </w:tc>
      </w:tr>
      <w:tr>
        <w:tc>
          <w:tcPr>
            <w:tcW w:type="dxa" w:w="3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2F2F2" w:val="clear"/>
            <w:tcMar>
              <w:top w:type="dxa" w:w="50"/>
              <w:left w:type="dxa" w:w="80"/>
              <w:bottom w:type="dxa" w:w="50"/>
              <w:right w:type="dxa" w:w="80"/>
            </w:tcMar>
          </w:tcPr>
          <w:p>
            <w:r>
              <w:rPr>
                <w:rFonts w:ascii="Arial" w:cs="Arial" w:eastAsia="Arial" w:hAnsi="Arial"/>
                <w:sz w:val="20"/>
                <w:szCs w:val="20"/>
              </w:rPr>
              <w:t xml:space="preserve">代理服务费</w:t>
            </w:r>
          </w:p>
        </w:tc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2F2F2" w:val="clear"/>
            <w:tcMar>
              <w:top w:type="dxa" w:w="50"/>
              <w:left w:type="dxa" w:w="80"/>
              <w:bottom w:type="dxa" w:w="50"/>
              <w:right w:type="dxa" w:w="80"/>
            </w:tcMar>
          </w:tcPr>
          <w:p>
            <w:r>
              <w:rPr>
                <w:rFonts w:ascii="Arial" w:cs="Arial" w:eastAsia="Arial" w:hAnsi="Arial"/>
                <w:sz w:val="20"/>
                <w:szCs w:val="20"/>
              </w:rPr>
              <w:t xml:space="preserve">视机构而定</w:t>
            </w:r>
          </w:p>
        </w:tc>
        <w:tc>
          <w:tcPr>
            <w:tcW w:type="dxa" w:w="404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2F2F2" w:val="clear"/>
            <w:tcMar>
              <w:top w:type="dxa" w:w="50"/>
              <w:left w:type="dxa" w:w="80"/>
              <w:bottom w:type="dxa" w:w="50"/>
              <w:right w:type="dxa" w:w="80"/>
            </w:tcMar>
          </w:tcPr>
          <w:p>
            <w:r>
              <w:rPr>
                <w:rFonts w:ascii="Arial" w:cs="Arial" w:eastAsia="Arial" w:hAnsi="Arial"/>
                <w:sz w:val="20"/>
                <w:szCs w:val="20"/>
              </w:rPr>
              <w:t xml:space="preserve">代办公司服务费</w:t>
            </w:r>
          </w:p>
        </w:tc>
      </w:tr>
    </w:tbl>
    <w:p>
      <w:pPr>
        <w:pStyle w:val="Heading2"/>
      </w:pPr>
      <w:r>
        <w:t xml:space="preserve">按风险等级大致总成本</w:t>
      </w:r>
    </w:p>
    <w:p>
      <w:pPr>
        <w:pStyle w:val="ListParagraph"/>
        <w:numPr>
          <w:ilvl w:val="0"/>
          <w:numId w:val="2"/>
        </w:numPr>
      </w:pPr>
      <w:r>
        <w:rPr>
          <w:sz w:val="20"/>
          <w:szCs w:val="20"/>
        </w:rPr>
        <w:t xml:space="preserve">低风险产品：约 $300–2,000（含检测）</w:t>
      </w:r>
    </w:p>
    <w:p>
      <w:pPr>
        <w:pStyle w:val="ListParagraph"/>
        <w:numPr>
          <w:ilvl w:val="0"/>
          <w:numId w:val="2"/>
        </w:numPr>
      </w:pPr>
      <w:r>
        <w:rPr>
          <w:sz w:val="20"/>
          <w:szCs w:val="20"/>
        </w:rPr>
        <w:t xml:space="preserve">中风险产品（多数家电、电子）：约 $500–5,000</w:t>
      </w:r>
    </w:p>
    <w:p>
      <w:pPr>
        <w:pStyle w:val="ListParagraph"/>
        <w:numPr>
          <w:ilvl w:val="0"/>
          <w:numId w:val="2"/>
        </w:numPr>
      </w:pPr>
      <w:r>
        <w:rPr>
          <w:sz w:val="20"/>
          <w:szCs w:val="20"/>
        </w:rPr>
        <w:t xml:space="preserve">高风险产品（建材、汽配等）：可能 $2,000–20,000+</w:t>
      </w:r>
    </w:p>
    <w:p>
      <w:pPr>
        <w:pStyle w:val="Heading1"/>
      </w:pPr>
      <w:r>
        <w:t xml:space="preserve">七、去红海必须注意</w:t>
      </w:r>
    </w:p>
    <w:p>
      <w:pPr>
        <w:pStyle w:val="ListParagraph"/>
        <w:numPr>
          <w:ilvl w:val="0"/>
          <w:numId w:val="2"/>
        </w:numPr>
      </w:pPr>
      <w:r>
        <w:rPr>
          <w:sz w:val="20"/>
          <w:szCs w:val="20"/>
        </w:rPr>
        <w:t xml:space="preserve">安全风险：红海局势仍不稳定，船司多为选择性复航，可能临时改道。</w:t>
      </w:r>
    </w:p>
    <w:p>
      <w:pPr>
        <w:pStyle w:val="ListParagraph"/>
        <w:numPr>
          <w:ilvl w:val="0"/>
          <w:numId w:val="2"/>
        </w:numPr>
      </w:pPr>
      <w:r>
        <w:rPr>
          <w:sz w:val="20"/>
          <w:szCs w:val="20"/>
        </w:rPr>
        <w:t xml:space="preserve">保险：必须买战争险，费率已大幅上涨。</w:t>
      </w:r>
    </w:p>
    <w:p>
      <w:pPr>
        <w:pStyle w:val="ListParagraph"/>
        <w:numPr>
          <w:ilvl w:val="0"/>
          <w:numId w:val="2"/>
        </w:numPr>
      </w:pPr>
      <w:r>
        <w:rPr>
          <w:sz w:val="20"/>
          <w:szCs w:val="20"/>
        </w:rPr>
        <w:t xml:space="preserve">时效：直航快但舱位紧；绕行慢但稳。</w:t>
      </w:r>
    </w:p>
    <w:p>
      <w:pPr>
        <w:pStyle w:val="ListParagraph"/>
        <w:numPr>
          <w:ilvl w:val="0"/>
          <w:numId w:val="2"/>
        </w:numPr>
      </w:pPr>
      <w:r>
        <w:rPr>
          <w:sz w:val="20"/>
          <w:szCs w:val="20"/>
        </w:rPr>
        <w:t xml:space="preserve">认证前置：沙特SABER等必须到港前完成，否则扣货。</w:t>
      </w:r>
    </w:p>
    <w:p>
      <w:pPr>
        <w:pStyle w:val="ListParagraph"/>
        <w:numPr>
          <w:ilvl w:val="0"/>
          <w:numId w:val="2"/>
        </w:numPr>
      </w:pPr>
      <w:r>
        <w:rPr>
          <w:sz w:val="20"/>
          <w:szCs w:val="20"/>
        </w:rPr>
        <w:t xml:space="preserve">费用：除运费外，还有THC、文件费、目的港费用、可能的滞箱费。</w:t>
      </w:r>
    </w:p>
    <w:p>
      <w:pPr>
        <w:pStyle w:val="ListParagraph"/>
        <w:numPr>
          <w:ilvl w:val="0"/>
          <w:numId w:val="2"/>
        </w:numPr>
      </w:pPr>
      <w:r>
        <w:rPr>
          <w:sz w:val="20"/>
          <w:szCs w:val="20"/>
        </w:rPr>
        <w:t xml:space="preserve">建议：提前2-3周订舱，找有红海经验的货代，确认最新船期和是否直航。</w:t>
      </w:r>
    </w:p>
    <w:p>
      <w:pPr>
        <w:pBdr>
          <w:top w:val="single" w:color="1F4E79" w:sz="6" w:space="1"/>
        </w:pBdr>
        <w:spacing w:before="400"/>
      </w:pPr>
    </w:p>
    <w:p>
      <w:pPr>
        <w:spacing w:before="200"/>
      </w:pPr>
      <w:r>
        <w:rPr>
          <w:i/>
          <w:iCs/>
          <w:color w:val="888888"/>
          <w:sz w:val="18"/>
          <w:szCs w:val="18"/>
        </w:rPr>
        <w:t xml:space="preserve">免责声明：本文档内容基于2026年10月底公开市场信息整理，运价、航线、政策均可能随时变化。实际操作请以船东、货代及目的国官方最新要求为准。</w:t>
      </w:r>
    </w:p>
    <w:sectPr>
      <w:headerReference w:type="default" r:id="rId7"/>
      <w:footerReference w:type="default" r:id="rId8"/>
      <w:pgSz w:w="12240" w:h="15840" w:orient="portrait"/>
      <w:pgMar w:top="1000" w:right="1000" w:bottom="1000" w:left="10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Arial" w:cs="Arial" w:eastAsia="Arial" w:hAnsi="Arial"/>
        <w:color w:val="999999"/>
        <w:sz w:val="16"/>
        <w:szCs w:val="16"/>
      </w:rPr>
      <w:t xml:space="preserve">仅供参考 · 实际以船东/货代报价为准 · </w:t>
    </w:r>
    <w:r>
      <w:rPr>
        <w:rFonts w:ascii="Arial" w:cs="Arial" w:eastAsia="Arial" w:hAnsi="Arial"/>
        <w:color w:val="999999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>
    <w:pPr>
      <w:jc w:val="right"/>
    </w:pPr>
    <w:r>
      <w:rPr>
        <w:rFonts w:ascii="Arial" w:cs="Arial" w:eastAsia="Arial" w:hAnsi="Arial"/>
        <w:color w:val="666666"/>
        <w:sz w:val="18"/>
        <w:szCs w:val="18"/>
      </w:rPr>
      <w:t xml:space="preserve">中国至红海航线参考指南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720" w:hanging="360"/>
      </w:pPr>
    </w:lvl>
  </w:abstractNum>
  <w:abstractNum w:abstractNumId="3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720" w:hanging="36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  <w:num w:numId="3">
    <w:abstractNumId w:val="3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Heading1">
    <w:name w:val="Heading 1"/>
    <w:basedOn w:val="Normal"/>
    <w:next w:val="Normal"/>
    <w:qFormat/>
    <w:pPr>
      <w:spacing w:after="200" w:before="360"/>
      <w:outlineLvl w:val="0"/>
    </w:pPr>
    <w:rPr>
      <w:rFonts w:ascii="Arial" w:cs="Arial" w:eastAsia="Arial" w:hAnsi="Arial"/>
      <w:b/>
      <w:bCs/>
      <w:color w:val="1F4E79"/>
      <w:sz w:val="32"/>
      <w:szCs w:val="32"/>
    </w:rPr>
  </w:style>
  <w:style w:type="paragraph" w:styleId="Heading2">
    <w:name w:val="Heading 2"/>
    <w:basedOn w:val="Normal"/>
    <w:next w:val="Normal"/>
    <w:qFormat/>
    <w:pPr>
      <w:spacing w:after="140" w:before="280"/>
      <w:outlineLvl w:val="1"/>
    </w:pPr>
    <w:rPr>
      <w:rFonts w:ascii="Arial" w:cs="Arial" w:eastAsia="Arial" w:hAnsi="Arial"/>
      <w:b/>
      <w:bCs/>
      <w:color w:val="2E75B6"/>
      <w:sz w:val="26"/>
      <w:szCs w:val="26"/>
    </w:rPr>
  </w:style>
  <w:style w:type="paragraph" w:styleId="Heading3">
    <w:name w:val="Heading 3"/>
    <w:basedOn w:val="Normal"/>
    <w:next w:val="Normal"/>
    <w:qFormat/>
    <w:pPr>
      <w:spacing w:after="100" w:before="200"/>
      <w:outlineLvl w:val="2"/>
    </w:pPr>
    <w:rPr>
      <w:rFonts w:ascii="Arial" w:cs="Arial" w:eastAsia="Arial" w:hAnsi="Arial"/>
      <w:b/>
      <w:bCs/>
      <w:color w:val="404040"/>
      <w:sz w:val="24"/>
      <w:szCs w:val="24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_rels/header1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2026-10-28T07:46:07.616Z</dcterms:created>
  <dcterms:modified xsi:type="dcterms:W3CDTF">2026-10-28T07:46:07.616Z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